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DF017B">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w:t>
      </w:r>
      <w:r w:rsidR="00B5035B">
        <w:rPr>
          <w:rFonts w:ascii="楷体" w:eastAsia="楷体" w:hAnsi="楷体" w:hint="eastAsia"/>
          <w:bCs/>
        </w:rPr>
        <w:t>在产业链中的位置、</w:t>
      </w:r>
      <w:r>
        <w:rPr>
          <w:rFonts w:ascii="楷体" w:eastAsia="楷体" w:hAnsi="楷体" w:hint="eastAsia"/>
          <w:bCs/>
        </w:rPr>
        <w:t>竞争优势</w:t>
      </w:r>
      <w:r w:rsidR="00250B6F">
        <w:rPr>
          <w:rFonts w:ascii="楷体" w:eastAsia="楷体" w:hAnsi="楷体" w:hint="eastAsia"/>
          <w:bCs/>
        </w:rPr>
        <w:t>简介</w:t>
      </w:r>
    </w:p>
    <w:p w:rsidR="00B5035B" w:rsidRPr="00250B6F" w:rsidRDefault="00A56CBB" w:rsidP="00B5035B">
      <w:pPr>
        <w:pStyle w:val="aa"/>
        <w:numPr>
          <w:ilvl w:val="0"/>
          <w:numId w:val="11"/>
        </w:numPr>
        <w:spacing w:before="0" w:after="0" w:line="240" w:lineRule="auto"/>
        <w:ind w:firstLineChars="0"/>
        <w:jc w:val="left"/>
        <w:rPr>
          <w:rFonts w:ascii="楷体" w:eastAsia="楷体" w:hAnsi="楷体"/>
          <w:bCs/>
        </w:rPr>
      </w:pPr>
      <w:r w:rsidRPr="00A56CBB">
        <w:rPr>
          <w:rFonts w:ascii="楷体" w:eastAsia="楷体" w:hAnsi="楷体" w:hint="eastAsia"/>
          <w:bCs/>
        </w:rPr>
        <w:t>公司</w:t>
      </w:r>
      <w:r w:rsidR="00B5035B">
        <w:rPr>
          <w:rFonts w:ascii="楷体" w:eastAsia="楷体" w:hAnsi="楷体" w:hint="eastAsia"/>
          <w:bCs/>
        </w:rPr>
        <w:t>主要产品/服务</w:t>
      </w:r>
      <w:r w:rsidRPr="00A56CBB">
        <w:rPr>
          <w:rFonts w:ascii="楷体" w:eastAsia="楷体" w:hAnsi="楷体" w:hint="eastAsia"/>
          <w:bCs/>
        </w:rPr>
        <w:t>介绍，包括</w:t>
      </w:r>
      <w:r w:rsidR="00B5035B">
        <w:rPr>
          <w:rFonts w:ascii="楷体" w:eastAsia="楷体" w:hAnsi="楷体" w:hint="eastAsia"/>
          <w:bCs/>
        </w:rPr>
        <w:t>内容/功能</w:t>
      </w:r>
      <w:r w:rsidR="007D6F2D">
        <w:rPr>
          <w:rFonts w:ascii="楷体" w:eastAsia="楷体" w:hAnsi="楷体" w:hint="eastAsia"/>
          <w:bCs/>
        </w:rPr>
        <w:t>、</w:t>
      </w:r>
      <w:r w:rsidRPr="00A56CBB">
        <w:rPr>
          <w:rFonts w:ascii="楷体" w:eastAsia="楷体" w:hAnsi="楷体" w:hint="eastAsia"/>
          <w:bCs/>
        </w:rPr>
        <w:t>市场定位、用户画像等</w:t>
      </w:r>
    </w:p>
    <w:p w:rsidR="00A56CBB" w:rsidRPr="00B5035B" w:rsidRDefault="00A56CBB" w:rsidP="00B5035B">
      <w:pPr>
        <w:spacing w:before="0" w:after="0" w:line="240" w:lineRule="auto"/>
        <w:ind w:left="0" w:firstLine="0"/>
        <w:jc w:val="left"/>
        <w:rPr>
          <w:rFonts w:ascii="楷体" w:eastAsia="楷体" w:hAnsi="楷体" w:hint="eastAsia"/>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250B6F" w:rsidRPr="00250B6F"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sidR="00250B6F" w:rsidRPr="00250B6F">
        <w:rPr>
          <w:rFonts w:ascii="楷体" w:eastAsia="楷体" w:hAnsi="楷体" w:hint="eastAsia"/>
          <w:bCs/>
        </w:rPr>
        <w:t>从开始到最近日期，按产品</w:t>
      </w:r>
      <w:r>
        <w:rPr>
          <w:rFonts w:ascii="楷体" w:eastAsia="楷体" w:hAnsi="楷体" w:hint="eastAsia"/>
          <w:bCs/>
        </w:rPr>
        <w:t>类型</w:t>
      </w:r>
      <w:r w:rsidR="00250B6F" w:rsidRPr="00250B6F">
        <w:rPr>
          <w:rFonts w:ascii="楷体" w:eastAsia="楷体" w:hAnsi="楷体"/>
          <w:bCs/>
        </w:rPr>
        <w:t>/渠道分开统计每月订单数量、金额、单价</w:t>
      </w:r>
    </w:p>
    <w:p w:rsidR="00250B6F"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从开始到最近日期，每月</w:t>
      </w:r>
      <w:r>
        <w:rPr>
          <w:rFonts w:ascii="楷体" w:eastAsia="楷体" w:hAnsi="楷体" w:hint="eastAsia"/>
          <w:bCs/>
        </w:rPr>
        <w:t>累计付费用户数、新增</w:t>
      </w:r>
      <w:r>
        <w:rPr>
          <w:rFonts w:ascii="楷体" w:eastAsia="楷体" w:hAnsi="楷体" w:hint="eastAsia"/>
          <w:bCs/>
        </w:rPr>
        <w:t>付费</w:t>
      </w:r>
      <w:r>
        <w:rPr>
          <w:rFonts w:ascii="楷体" w:eastAsia="楷体" w:hAnsi="楷体" w:hint="eastAsia"/>
          <w:bCs/>
        </w:rPr>
        <w:t>用户数、平均客单价、客户付费率、留存情况统计</w:t>
      </w:r>
    </w:p>
    <w:p w:rsidR="007D6F2D"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Pr>
          <w:rFonts w:ascii="楷体" w:eastAsia="楷体" w:hAnsi="楷体" w:hint="eastAsia"/>
          <w:bCs/>
        </w:rPr>
        <w:t>各年度各产品类型的复购率、复购周期统计</w:t>
      </w:r>
    </w:p>
    <w:p w:rsidR="00B5035B" w:rsidRDefault="00DF2F2F"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，按客户</w:t>
      </w:r>
      <w:r w:rsidR="003F70C4">
        <w:rPr>
          <w:rFonts w:ascii="楷体" w:eastAsia="楷体" w:hAnsi="楷体" w:hint="eastAsia"/>
          <w:bCs/>
        </w:rPr>
        <w:t>清单</w:t>
      </w:r>
      <w:r w:rsidRPr="00DF2F2F">
        <w:rPr>
          <w:rFonts w:ascii="楷体" w:eastAsia="楷体" w:hAnsi="楷体"/>
          <w:bCs/>
        </w:rPr>
        <w:t>统计各年度、各产品的订单数量、金额、单价；</w:t>
      </w:r>
    </w:p>
    <w:p w:rsidR="00DF2F2F" w:rsidRPr="00DF2F2F" w:rsidRDefault="00B5035B"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各年度前十大客户</w:t>
      </w:r>
      <w:r w:rsidR="00DF2F2F" w:rsidRPr="00DF2F2F">
        <w:rPr>
          <w:rFonts w:ascii="楷体" w:eastAsia="楷体" w:hAnsi="楷体"/>
          <w:bCs/>
        </w:rPr>
        <w:t>销量占比</w:t>
      </w:r>
    </w:p>
    <w:p w:rsidR="00B5035B" w:rsidRPr="00DF2F2F" w:rsidRDefault="00B5035B" w:rsidP="00B5035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Pr="00DF2F2F">
        <w:rPr>
          <w:rFonts w:ascii="楷体" w:eastAsia="楷体" w:hAnsi="楷体" w:hint="eastAsia"/>
          <w:bCs/>
        </w:rPr>
        <w:t>各年度</w:t>
      </w:r>
      <w:r w:rsidR="007D6F2D">
        <w:rPr>
          <w:rFonts w:ascii="楷体" w:eastAsia="楷体" w:hAnsi="楷体" w:hint="eastAsia"/>
          <w:bCs/>
        </w:rPr>
        <w:t>老</w:t>
      </w:r>
      <w:r>
        <w:rPr>
          <w:rFonts w:ascii="楷体" w:eastAsia="楷体" w:hAnsi="楷体" w:hint="eastAsia"/>
          <w:bCs/>
        </w:rPr>
        <w:t>客户的</w:t>
      </w:r>
      <w:r w:rsidR="007D6F2D">
        <w:rPr>
          <w:rFonts w:ascii="楷体" w:eastAsia="楷体" w:hAnsi="楷体" w:hint="eastAsia"/>
          <w:bCs/>
        </w:rPr>
        <w:t>续费</w:t>
      </w:r>
      <w:r>
        <w:rPr>
          <w:rFonts w:ascii="楷体" w:eastAsia="楷体" w:hAnsi="楷体" w:hint="eastAsia"/>
          <w:bCs/>
        </w:rPr>
        <w:t>情况</w:t>
      </w:r>
      <w:r w:rsidR="007D6F2D">
        <w:rPr>
          <w:rFonts w:ascii="楷体" w:eastAsia="楷体" w:hAnsi="楷体" w:hint="eastAsia"/>
          <w:bCs/>
        </w:rPr>
        <w:t>、新增客户和合约情况</w:t>
      </w:r>
    </w:p>
    <w:p w:rsidR="00DF2F2F" w:rsidRPr="00250B6F" w:rsidRDefault="00DF2F2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各年度退</w:t>
      </w:r>
      <w:r w:rsidR="00B5035B">
        <w:rPr>
          <w:rFonts w:ascii="楷体" w:eastAsia="楷体" w:hAnsi="楷体" w:hint="eastAsia"/>
          <w:bCs/>
        </w:rPr>
        <w:t>单</w:t>
      </w:r>
      <w:r w:rsidRPr="00250B6F">
        <w:rPr>
          <w:rFonts w:ascii="楷体" w:eastAsia="楷体" w:hAnsi="楷体" w:hint="eastAsia"/>
          <w:bCs/>
        </w:rPr>
        <w:t>率、退</w:t>
      </w:r>
      <w:r w:rsidR="00B5035B">
        <w:rPr>
          <w:rFonts w:ascii="楷体" w:eastAsia="楷体" w:hAnsi="楷体" w:hint="eastAsia"/>
          <w:bCs/>
        </w:rPr>
        <w:t>单</w:t>
      </w:r>
      <w:r w:rsidRPr="00250B6F">
        <w:rPr>
          <w:rFonts w:ascii="楷体" w:eastAsia="楷体" w:hAnsi="楷体" w:hint="eastAsia"/>
          <w:bCs/>
        </w:rPr>
        <w:t>原因、</w:t>
      </w:r>
      <w:r w:rsidR="00B5035B">
        <w:rPr>
          <w:rFonts w:ascii="楷体" w:eastAsia="楷体" w:hAnsi="楷体" w:hint="eastAsia"/>
          <w:bCs/>
        </w:rPr>
        <w:t>相关</w:t>
      </w:r>
      <w:r w:rsidRPr="00250B6F">
        <w:rPr>
          <w:rFonts w:ascii="楷体" w:eastAsia="楷体" w:hAnsi="楷体" w:hint="eastAsia"/>
          <w:bCs/>
        </w:rPr>
        <w:t>政策</w:t>
      </w:r>
      <w:r w:rsidR="00B5035B">
        <w:rPr>
          <w:rFonts w:ascii="楷体" w:eastAsia="楷体" w:hAnsi="楷体" w:hint="eastAsia"/>
          <w:bCs/>
        </w:rPr>
        <w:t>和处理</w:t>
      </w:r>
      <w:r w:rsidRPr="00250B6F">
        <w:rPr>
          <w:rFonts w:ascii="楷体" w:eastAsia="楷体" w:hAnsi="楷体" w:hint="eastAsia"/>
          <w:bCs/>
        </w:rPr>
        <w:t>方式</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4A31E7" w:rsidRDefault="004A31E7"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用户画像</w:t>
      </w:r>
      <w:r w:rsidR="00DF2F2F">
        <w:rPr>
          <w:rFonts w:ascii="楷体" w:eastAsia="楷体" w:hAnsi="楷体" w:hint="eastAsia"/>
          <w:bCs/>
        </w:rPr>
        <w:t>，包括性别、年龄、地域分布等</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合作渠道列表，包括平台/渠道商名称、合作时间、产品、价格、结算方式</w:t>
      </w:r>
      <w:proofErr w:type="gramStart"/>
      <w:r>
        <w:rPr>
          <w:rFonts w:ascii="楷体" w:eastAsia="楷体" w:hAnsi="楷体" w:hint="eastAsia"/>
          <w:bCs/>
        </w:rPr>
        <w:t>和账期</w:t>
      </w:r>
      <w:proofErr w:type="gramEnd"/>
      <w:r>
        <w:rPr>
          <w:rFonts w:ascii="楷体" w:eastAsia="楷体" w:hAnsi="楷体" w:hint="eastAsia"/>
          <w:bCs/>
        </w:rPr>
        <w:t>等。</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线上销售店铺链接列表</w:t>
      </w:r>
      <w:r>
        <w:rPr>
          <w:rFonts w:ascii="楷体" w:eastAsia="楷体" w:hAnsi="楷体"/>
          <w:bCs/>
        </w:rPr>
        <w:t xml:space="preserve"> </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布局策略，</w:t>
      </w:r>
      <w:r w:rsidR="00DF2F2F">
        <w:rPr>
          <w:rFonts w:ascii="楷体" w:eastAsia="楷体" w:hAnsi="楷体" w:hint="eastAsia"/>
          <w:bCs/>
        </w:rPr>
        <w:t>网点</w:t>
      </w:r>
      <w:r w:rsidRPr="00DF2F2F">
        <w:rPr>
          <w:rFonts w:ascii="楷体" w:eastAsia="楷体" w:hAnsi="楷体" w:hint="eastAsia"/>
          <w:bCs/>
        </w:rPr>
        <w:t>列表</w:t>
      </w:r>
      <w:r w:rsidRPr="00DF2F2F">
        <w:rPr>
          <w:rFonts w:ascii="楷体" w:eastAsia="楷体" w:hAnsi="楷体"/>
          <w:bCs/>
        </w:rPr>
        <w:t>(</w:t>
      </w:r>
      <w:r w:rsidR="00DF2F2F" w:rsidRPr="00DF2F2F">
        <w:rPr>
          <w:rFonts w:ascii="楷体" w:eastAsia="楷体" w:hAnsi="楷体"/>
          <w:bCs/>
        </w:rPr>
        <w:t>自营</w:t>
      </w:r>
      <w:r w:rsidR="00DF2F2F" w:rsidRPr="00DF2F2F">
        <w:rPr>
          <w:rFonts w:ascii="楷体" w:eastAsia="楷体" w:hAnsi="楷体" w:hint="eastAsia"/>
          <w:bCs/>
        </w:rPr>
        <w:t>/加盟/</w:t>
      </w:r>
      <w:r w:rsidR="00DF2F2F" w:rsidRPr="00DF2F2F">
        <w:rPr>
          <w:rFonts w:ascii="楷体" w:eastAsia="楷体" w:hAnsi="楷体"/>
          <w:bCs/>
        </w:rPr>
        <w:t>合作</w:t>
      </w:r>
      <w:r w:rsidR="00DF2F2F" w:rsidRPr="00DF2F2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自建站/</w:t>
      </w:r>
      <w:r>
        <w:rPr>
          <w:rFonts w:ascii="楷体" w:eastAsia="楷体" w:hAnsi="楷体"/>
          <w:bCs/>
        </w:rPr>
        <w:t>APP/</w:t>
      </w:r>
      <w:r>
        <w:rPr>
          <w:rFonts w:ascii="楷体" w:eastAsia="楷体" w:hAnsi="楷体" w:hint="eastAsia"/>
          <w:bCs/>
        </w:rPr>
        <w:t>自媒体/社交账号的经营情况（如有），如用户数量、活跃度、</w:t>
      </w:r>
      <w:r w:rsidR="003F70C4">
        <w:rPr>
          <w:rFonts w:ascii="楷体" w:eastAsia="楷体" w:hAnsi="楷体" w:hint="eastAsia"/>
          <w:bCs/>
        </w:rPr>
        <w:t>内容量和浏览量、</w:t>
      </w:r>
      <w:r>
        <w:rPr>
          <w:rFonts w:ascii="楷体" w:eastAsia="楷体" w:hAnsi="楷体" w:hint="eastAsia"/>
          <w:bCs/>
        </w:rPr>
        <w:t>转化率、流量成本等数据</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导流的合作方式及详细情况（如有）</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各渠道ROI</w:t>
      </w:r>
    </w:p>
    <w:p w:rsidR="008E428D" w:rsidRDefault="008E428D" w:rsidP="008E428D">
      <w:pPr>
        <w:spacing w:before="0" w:after="0" w:line="240" w:lineRule="auto"/>
        <w:jc w:val="left"/>
        <w:rPr>
          <w:rFonts w:ascii="楷体" w:eastAsia="楷体" w:hAnsi="楷体"/>
          <w:bCs/>
        </w:rPr>
      </w:pPr>
    </w:p>
    <w:p w:rsidR="008E428D" w:rsidRDefault="003F70C4"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供应链</w:t>
      </w:r>
    </w:p>
    <w:p w:rsidR="00DF2F2F" w:rsidRPr="00DF2F2F" w:rsidRDefault="00DF2F2F" w:rsidP="00DF017B">
      <w:pPr>
        <w:pStyle w:val="aa"/>
        <w:numPr>
          <w:ilvl w:val="0"/>
          <w:numId w:val="12"/>
        </w:numPr>
        <w:spacing w:before="0" w:after="0" w:line="240" w:lineRule="auto"/>
        <w:ind w:firstLineChars="0"/>
        <w:jc w:val="left"/>
        <w:rPr>
          <w:rFonts w:ascii="楷体" w:eastAsia="楷体" w:hAnsi="楷体"/>
          <w:bCs/>
        </w:rPr>
      </w:pPr>
      <w:r w:rsidRPr="00DF2F2F">
        <w:rPr>
          <w:rFonts w:ascii="楷体" w:eastAsia="楷体" w:hAnsi="楷体"/>
          <w:bCs/>
        </w:rPr>
        <w:t>主要产品</w:t>
      </w:r>
      <w:r w:rsidR="003F70C4">
        <w:rPr>
          <w:rFonts w:ascii="楷体" w:eastAsia="楷体" w:hAnsi="楷体" w:hint="eastAsia"/>
          <w:bCs/>
        </w:rPr>
        <w:t>/服务</w:t>
      </w:r>
      <w:r w:rsidRPr="00DF2F2F">
        <w:rPr>
          <w:rFonts w:ascii="楷体" w:eastAsia="楷体" w:hAnsi="楷体"/>
          <w:bCs/>
        </w:rPr>
        <w:t>的完整业务流程</w:t>
      </w:r>
      <w:r w:rsidR="003F70C4">
        <w:rPr>
          <w:rFonts w:ascii="楷体" w:eastAsia="楷体" w:hAnsi="楷体" w:hint="eastAsia"/>
          <w:bCs/>
        </w:rPr>
        <w:t>（如：市场调研立项-产品设计/开发-供应</w:t>
      </w:r>
      <w:proofErr w:type="gramStart"/>
      <w:r w:rsidR="003F70C4">
        <w:rPr>
          <w:rFonts w:ascii="楷体" w:eastAsia="楷体" w:hAnsi="楷体" w:hint="eastAsia"/>
          <w:bCs/>
        </w:rPr>
        <w:t>链解决</w:t>
      </w:r>
      <w:proofErr w:type="gramEnd"/>
      <w:r w:rsidR="003F70C4">
        <w:rPr>
          <w:rFonts w:ascii="楷体" w:eastAsia="楷体" w:hAnsi="楷体" w:hint="eastAsia"/>
          <w:bCs/>
        </w:rPr>
        <w:t>-产品上架-渠道分发与宣传推广-服务过程安排</w:t>
      </w:r>
      <w:r w:rsidR="000D2A38">
        <w:rPr>
          <w:rFonts w:ascii="楷体" w:eastAsia="楷体" w:hAnsi="楷体" w:hint="eastAsia"/>
          <w:bCs/>
        </w:rPr>
        <w:t>-售后等），</w:t>
      </w:r>
      <w:r w:rsidRPr="00DF2F2F">
        <w:rPr>
          <w:rFonts w:ascii="楷体" w:eastAsia="楷体" w:hAnsi="楷体"/>
          <w:bCs/>
        </w:rPr>
        <w:t>详细描述</w:t>
      </w:r>
      <w:r w:rsidRPr="00DF2F2F">
        <w:rPr>
          <w:rFonts w:ascii="楷体" w:eastAsia="楷体" w:hAnsi="楷体" w:hint="eastAsia"/>
          <w:bCs/>
        </w:rPr>
        <w:t>各个环节</w:t>
      </w:r>
      <w:r w:rsidR="003F70C4">
        <w:rPr>
          <w:rFonts w:ascii="楷体" w:eastAsia="楷体" w:hAnsi="楷体" w:hint="eastAsia"/>
          <w:bCs/>
        </w:rPr>
        <w:t>负责的</w:t>
      </w:r>
      <w:r w:rsidRPr="00DF2F2F">
        <w:rPr>
          <w:rFonts w:ascii="楷体" w:eastAsia="楷体" w:hAnsi="楷体" w:hint="eastAsia"/>
          <w:bCs/>
        </w:rPr>
        <w:t>人员/部门职责、</w:t>
      </w:r>
      <w:r w:rsidR="003F70C4">
        <w:rPr>
          <w:rFonts w:ascii="楷体" w:eastAsia="楷体" w:hAnsi="楷体" w:hint="eastAsia"/>
          <w:bCs/>
        </w:rPr>
        <w:t>时间</w:t>
      </w:r>
      <w:r w:rsidRPr="00DF2F2F">
        <w:rPr>
          <w:rFonts w:ascii="楷体" w:eastAsia="楷体" w:hAnsi="楷体" w:hint="eastAsia"/>
          <w:bCs/>
        </w:rPr>
        <w:t>、</w:t>
      </w:r>
      <w:r w:rsidR="003F70C4">
        <w:rPr>
          <w:rFonts w:ascii="楷体" w:eastAsia="楷体" w:hAnsi="楷体" w:hint="eastAsia"/>
          <w:bCs/>
        </w:rPr>
        <w:t>监督机制</w:t>
      </w:r>
      <w:r w:rsidRPr="00DF2F2F">
        <w:rPr>
          <w:rFonts w:ascii="楷体" w:eastAsia="楷体" w:hAnsi="楷体" w:hint="eastAsia"/>
          <w:bCs/>
        </w:rPr>
        <w:t>等</w:t>
      </w:r>
    </w:p>
    <w:p w:rsidR="000D2A38" w:rsidRDefault="0075758C"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产品立项</w:t>
      </w:r>
      <w:r w:rsidR="003025A6">
        <w:rPr>
          <w:rFonts w:ascii="楷体" w:eastAsia="楷体" w:hAnsi="楷体" w:hint="eastAsia"/>
          <w:bCs/>
        </w:rPr>
        <w:t>及</w:t>
      </w:r>
      <w:r>
        <w:rPr>
          <w:rFonts w:ascii="楷体" w:eastAsia="楷体" w:hAnsi="楷体" w:hint="eastAsia"/>
          <w:bCs/>
        </w:rPr>
        <w:t>设计开发</w:t>
      </w:r>
      <w:r w:rsidR="003025A6">
        <w:rPr>
          <w:rFonts w:ascii="楷体" w:eastAsia="楷体" w:hAnsi="楷体" w:hint="eastAsia"/>
          <w:bCs/>
        </w:rPr>
        <w:t>的主要考虑因素、指标参数、设计机制等</w:t>
      </w:r>
      <w:r>
        <w:rPr>
          <w:rFonts w:ascii="楷体" w:eastAsia="楷体" w:hAnsi="楷体" w:hint="eastAsia"/>
          <w:bCs/>
        </w:rPr>
        <w:t>，</w:t>
      </w:r>
      <w:r w:rsidR="003025A6">
        <w:rPr>
          <w:rFonts w:ascii="楷体" w:eastAsia="楷体" w:hAnsi="楷体" w:hint="eastAsia"/>
          <w:bCs/>
        </w:rPr>
        <w:t>并请提供相关研究报告、开发的过程文件等案例资料（如有）</w:t>
      </w:r>
    </w:p>
    <w:p w:rsidR="003025A6" w:rsidRDefault="003025A6"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lastRenderedPageBreak/>
        <w:t>供应链的解决方案（如有）：</w:t>
      </w:r>
    </w:p>
    <w:p w:rsidR="003025A6" w:rsidRDefault="003025A6" w:rsidP="003025A6">
      <w:pPr>
        <w:pStyle w:val="aa"/>
        <w:numPr>
          <w:ilvl w:val="0"/>
          <w:numId w:val="16"/>
        </w:numPr>
        <w:spacing w:before="0" w:after="0" w:line="240" w:lineRule="auto"/>
        <w:ind w:firstLineChars="0"/>
        <w:jc w:val="left"/>
        <w:rPr>
          <w:rFonts w:ascii="楷体" w:eastAsia="楷体" w:hAnsi="楷体"/>
          <w:bCs/>
        </w:rPr>
      </w:pPr>
      <w:r>
        <w:rPr>
          <w:rFonts w:ascii="楷体" w:eastAsia="楷体" w:hAnsi="楷体" w:hint="eastAsia"/>
          <w:bCs/>
        </w:rPr>
        <w:t>主要供应商列表（如</w:t>
      </w:r>
      <w:r w:rsidR="00450EF6">
        <w:rPr>
          <w:rFonts w:ascii="楷体" w:eastAsia="楷体" w:hAnsi="楷体" w:hint="eastAsia"/>
          <w:bCs/>
        </w:rPr>
        <w:t>：</w:t>
      </w:r>
      <w:r>
        <w:rPr>
          <w:rFonts w:ascii="楷体" w:eastAsia="楷体" w:hAnsi="楷体" w:hint="eastAsia"/>
          <w:bCs/>
        </w:rPr>
        <w:t>机票酒店</w:t>
      </w:r>
      <w:r w:rsidR="00450EF6">
        <w:rPr>
          <w:rFonts w:ascii="楷体" w:eastAsia="楷体" w:hAnsi="楷体" w:hint="eastAsia"/>
          <w:bCs/>
        </w:rPr>
        <w:t>景区等直供或经销商，</w:t>
      </w:r>
      <w:r>
        <w:rPr>
          <w:rFonts w:ascii="楷体" w:eastAsia="楷体" w:hAnsi="楷体" w:hint="eastAsia"/>
          <w:bCs/>
        </w:rPr>
        <w:t>目的地地接</w:t>
      </w:r>
      <w:r w:rsidR="00450EF6">
        <w:rPr>
          <w:rFonts w:ascii="楷体" w:eastAsia="楷体" w:hAnsi="楷体" w:hint="eastAsia"/>
          <w:bCs/>
        </w:rPr>
        <w:t>、旅游消费项目</w:t>
      </w:r>
      <w:r>
        <w:rPr>
          <w:rFonts w:ascii="楷体" w:eastAsia="楷体" w:hAnsi="楷体" w:hint="eastAsia"/>
          <w:bCs/>
        </w:rPr>
        <w:t>等资源）</w:t>
      </w:r>
    </w:p>
    <w:p w:rsidR="00450EF6" w:rsidRDefault="00450EF6" w:rsidP="003025A6">
      <w:pPr>
        <w:pStyle w:val="aa"/>
        <w:numPr>
          <w:ilvl w:val="0"/>
          <w:numId w:val="16"/>
        </w:numPr>
        <w:spacing w:before="0" w:after="0" w:line="240" w:lineRule="auto"/>
        <w:ind w:firstLineChars="0"/>
        <w:jc w:val="left"/>
        <w:rPr>
          <w:rFonts w:ascii="楷体" w:eastAsia="楷体" w:hAnsi="楷体"/>
          <w:bCs/>
        </w:rPr>
      </w:pPr>
      <w:r>
        <w:rPr>
          <w:rFonts w:ascii="楷体" w:eastAsia="楷体" w:hAnsi="楷体" w:hint="eastAsia"/>
          <w:bCs/>
        </w:rPr>
        <w:t>合作方式、价格、合同重要条款等</w:t>
      </w:r>
    </w:p>
    <w:p w:rsidR="00450EF6" w:rsidRDefault="00450EF6" w:rsidP="003025A6">
      <w:pPr>
        <w:pStyle w:val="aa"/>
        <w:numPr>
          <w:ilvl w:val="0"/>
          <w:numId w:val="16"/>
        </w:numPr>
        <w:spacing w:before="0" w:after="0" w:line="240" w:lineRule="auto"/>
        <w:ind w:firstLineChars="0"/>
        <w:jc w:val="left"/>
        <w:rPr>
          <w:rFonts w:ascii="楷体" w:eastAsia="楷体" w:hAnsi="楷体" w:hint="eastAsia"/>
          <w:bCs/>
        </w:rPr>
      </w:pPr>
      <w:r>
        <w:rPr>
          <w:rFonts w:ascii="楷体" w:eastAsia="楷体" w:hAnsi="楷体" w:hint="eastAsia"/>
          <w:bCs/>
        </w:rPr>
        <w:t>供应链构建与谈判的策略，负责人员、部门，实际执行流程和落实情况等</w:t>
      </w:r>
    </w:p>
    <w:p w:rsidR="006A501F" w:rsidRDefault="006A501F" w:rsidP="00DF017B">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w:t>
      </w:r>
      <w:r w:rsidR="000D2A38">
        <w:rPr>
          <w:rFonts w:ascii="楷体" w:eastAsia="楷体" w:hAnsi="楷体" w:hint="eastAsia"/>
          <w:bCs/>
        </w:rPr>
        <w:t>（包括产品售后升级等）</w:t>
      </w:r>
      <w:r w:rsidRPr="006A501F">
        <w:rPr>
          <w:rFonts w:ascii="楷体" w:eastAsia="楷体" w:hAnsi="楷体"/>
          <w:bCs/>
        </w:rPr>
        <w:t>，对客户投诉、不良反馈的处理方式</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Pr>
          <w:rFonts w:ascii="楷体" w:eastAsia="楷体" w:hAnsi="楷体" w:hint="eastAsia"/>
          <w:bCs/>
        </w:rPr>
        <w:t>销量等情况、与本公司相比优劣势描述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704F16"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用于电商平台销售收款的相关银行账户设置</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w:t>
      </w:r>
      <w:bookmarkStart w:id="0" w:name="_GoBack"/>
      <w:bookmarkEnd w:id="0"/>
      <w:r>
        <w:rPr>
          <w:rFonts w:ascii="楷体" w:eastAsia="楷体" w:hAnsi="楷体" w:hint="eastAsia"/>
        </w:rPr>
        <w:t>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E6" w:rsidRDefault="005A5BE6">
      <w:pPr>
        <w:spacing w:before="0" w:after="0" w:line="240" w:lineRule="auto"/>
      </w:pPr>
      <w:r>
        <w:separator/>
      </w:r>
    </w:p>
  </w:endnote>
  <w:endnote w:type="continuationSeparator" w:id="0">
    <w:p w:rsidR="005A5BE6" w:rsidRDefault="005A5B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E6" w:rsidRDefault="005A5BE6">
      <w:pPr>
        <w:spacing w:before="0" w:after="0" w:line="240" w:lineRule="auto"/>
      </w:pPr>
      <w:r>
        <w:separator/>
      </w:r>
    </w:p>
  </w:footnote>
  <w:footnote w:type="continuationSeparator" w:id="0">
    <w:p w:rsidR="005A5BE6" w:rsidRDefault="005A5B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2"/>
  </w:num>
  <w:num w:numId="3">
    <w:abstractNumId w:val="11"/>
  </w:num>
  <w:num w:numId="4">
    <w:abstractNumId w:val="3"/>
  </w:num>
  <w:num w:numId="5">
    <w:abstractNumId w:val="2"/>
  </w:num>
  <w:num w:numId="6">
    <w:abstractNumId w:val="14"/>
  </w:num>
  <w:num w:numId="7">
    <w:abstractNumId w:val="13"/>
  </w:num>
  <w:num w:numId="8">
    <w:abstractNumId w:val="5"/>
  </w:num>
  <w:num w:numId="9">
    <w:abstractNumId w:val="8"/>
  </w:num>
  <w:num w:numId="10">
    <w:abstractNumId w:val="0"/>
  </w:num>
  <w:num w:numId="11">
    <w:abstractNumId w:val="9"/>
  </w:num>
  <w:num w:numId="12">
    <w:abstractNumId w:val="1"/>
  </w:num>
  <w:num w:numId="13">
    <w:abstractNumId w:val="15"/>
  </w:num>
  <w:num w:numId="14">
    <w:abstractNumId w:val="4"/>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0D2A38"/>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5673"/>
    <w:rsid w:val="00262698"/>
    <w:rsid w:val="00262C47"/>
    <w:rsid w:val="0027193F"/>
    <w:rsid w:val="002736E2"/>
    <w:rsid w:val="00275C5D"/>
    <w:rsid w:val="002A1631"/>
    <w:rsid w:val="002F0D11"/>
    <w:rsid w:val="002F4DCB"/>
    <w:rsid w:val="003025A6"/>
    <w:rsid w:val="00303BD5"/>
    <w:rsid w:val="00311B62"/>
    <w:rsid w:val="00314901"/>
    <w:rsid w:val="00345F48"/>
    <w:rsid w:val="003600D4"/>
    <w:rsid w:val="003605B3"/>
    <w:rsid w:val="00365388"/>
    <w:rsid w:val="00365A8F"/>
    <w:rsid w:val="0037792F"/>
    <w:rsid w:val="00380C39"/>
    <w:rsid w:val="0038367D"/>
    <w:rsid w:val="003A0DA2"/>
    <w:rsid w:val="003A6AE8"/>
    <w:rsid w:val="003C4DA0"/>
    <w:rsid w:val="003D2F29"/>
    <w:rsid w:val="003F70C4"/>
    <w:rsid w:val="00401150"/>
    <w:rsid w:val="00403BB8"/>
    <w:rsid w:val="00414C72"/>
    <w:rsid w:val="00431D53"/>
    <w:rsid w:val="0043785F"/>
    <w:rsid w:val="00450EF6"/>
    <w:rsid w:val="00453D17"/>
    <w:rsid w:val="004713B8"/>
    <w:rsid w:val="00485EC6"/>
    <w:rsid w:val="00491966"/>
    <w:rsid w:val="00491FBC"/>
    <w:rsid w:val="004A13DC"/>
    <w:rsid w:val="004A31E7"/>
    <w:rsid w:val="004C29A7"/>
    <w:rsid w:val="004C344A"/>
    <w:rsid w:val="004C6280"/>
    <w:rsid w:val="004F67F6"/>
    <w:rsid w:val="0050450B"/>
    <w:rsid w:val="00506C2D"/>
    <w:rsid w:val="005241CC"/>
    <w:rsid w:val="00533858"/>
    <w:rsid w:val="0053642B"/>
    <w:rsid w:val="005425E0"/>
    <w:rsid w:val="00572CDB"/>
    <w:rsid w:val="00572D6F"/>
    <w:rsid w:val="00581200"/>
    <w:rsid w:val="0058357A"/>
    <w:rsid w:val="005835C8"/>
    <w:rsid w:val="00585DF0"/>
    <w:rsid w:val="005A4124"/>
    <w:rsid w:val="005A5BE6"/>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1612"/>
    <w:rsid w:val="008150D1"/>
    <w:rsid w:val="00833B88"/>
    <w:rsid w:val="00834EB5"/>
    <w:rsid w:val="00842E21"/>
    <w:rsid w:val="00864043"/>
    <w:rsid w:val="008A0F93"/>
    <w:rsid w:val="008B3B97"/>
    <w:rsid w:val="008C6C0B"/>
    <w:rsid w:val="008E428D"/>
    <w:rsid w:val="008E43E8"/>
    <w:rsid w:val="008E4F56"/>
    <w:rsid w:val="008E52E6"/>
    <w:rsid w:val="008F7449"/>
    <w:rsid w:val="008F7A77"/>
    <w:rsid w:val="00901CF1"/>
    <w:rsid w:val="00904419"/>
    <w:rsid w:val="0091553C"/>
    <w:rsid w:val="00923202"/>
    <w:rsid w:val="0093405B"/>
    <w:rsid w:val="00945972"/>
    <w:rsid w:val="009502CD"/>
    <w:rsid w:val="00951096"/>
    <w:rsid w:val="0097706F"/>
    <w:rsid w:val="009823F0"/>
    <w:rsid w:val="009900A3"/>
    <w:rsid w:val="009A6FA7"/>
    <w:rsid w:val="009F2FC0"/>
    <w:rsid w:val="009F3751"/>
    <w:rsid w:val="00A03075"/>
    <w:rsid w:val="00A04B31"/>
    <w:rsid w:val="00A07552"/>
    <w:rsid w:val="00A37204"/>
    <w:rsid w:val="00A47C91"/>
    <w:rsid w:val="00A47F7A"/>
    <w:rsid w:val="00A566FB"/>
    <w:rsid w:val="00A56CBB"/>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C008B3"/>
    <w:rsid w:val="00C24A11"/>
    <w:rsid w:val="00C27D14"/>
    <w:rsid w:val="00C33D10"/>
    <w:rsid w:val="00C34D08"/>
    <w:rsid w:val="00C5338F"/>
    <w:rsid w:val="00C72A71"/>
    <w:rsid w:val="00C84895"/>
    <w:rsid w:val="00C904AB"/>
    <w:rsid w:val="00C95C48"/>
    <w:rsid w:val="00CD64A4"/>
    <w:rsid w:val="00CD68A0"/>
    <w:rsid w:val="00CE77E9"/>
    <w:rsid w:val="00D06450"/>
    <w:rsid w:val="00D23774"/>
    <w:rsid w:val="00D3114F"/>
    <w:rsid w:val="00D43E47"/>
    <w:rsid w:val="00D565A5"/>
    <w:rsid w:val="00D767EB"/>
    <w:rsid w:val="00D821AF"/>
    <w:rsid w:val="00DB364B"/>
    <w:rsid w:val="00DC7753"/>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2D60F5"/>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3</cp:revision>
  <dcterms:created xsi:type="dcterms:W3CDTF">2018-03-22T07:25:00Z</dcterms:created>
  <dcterms:modified xsi:type="dcterms:W3CDTF">2018-03-22T08:50:00Z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